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6BBC" w14:textId="6AAB9BD2" w:rsidR="006B4D81" w:rsidRPr="006B4D81" w:rsidRDefault="006B4D81" w:rsidP="006B4D81">
      <w:pPr>
        <w:pStyle w:val="Head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Instrucciones</w:t>
      </w:r>
      <w:proofErr w:type="spellEnd"/>
      <w:r w:rsidRPr="006B4D81">
        <w:rPr>
          <w:rFonts w:ascii="Times New Roman" w:hAnsi="Times New Roman" w:cs="Times New Roman"/>
          <w:b/>
          <w:bCs/>
          <w:sz w:val="22"/>
          <w:szCs w:val="22"/>
        </w:rPr>
        <w:t xml:space="preserve"> Post-</w:t>
      </w: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Operatorias</w:t>
      </w:r>
      <w:proofErr w:type="spellEnd"/>
      <w:r w:rsidRPr="006B4D8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Levantamiento</w:t>
      </w:r>
      <w:proofErr w:type="spellEnd"/>
      <w:r w:rsidRPr="006B4D81">
        <w:rPr>
          <w:rFonts w:ascii="Times New Roman" w:hAnsi="Times New Roman" w:cs="Times New Roman"/>
          <w:b/>
          <w:bCs/>
          <w:sz w:val="22"/>
          <w:szCs w:val="22"/>
        </w:rPr>
        <w:t xml:space="preserve"> Facial</w:t>
      </w:r>
    </w:p>
    <w:p w14:paraId="2BB03988" w14:textId="77777777" w:rsid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583186E3" w14:textId="5485CA56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Tenga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cuenta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fumar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alcohol y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drogas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recreativas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uso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medicamentos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autorizados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provocar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complicaciones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poner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peligro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resultados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7F1096B7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3A72EC08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Dieta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: evite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alimentos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salados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ya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empeorar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hinchazón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Retoma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dieta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anterior.</w:t>
      </w:r>
    </w:p>
    <w:p w14:paraId="65D5CAFE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55D9552E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Ducharse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: Al día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siguiente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procedimiento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retire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vendaje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quirúrgico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mojar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herida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pero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restregarse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Es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posible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sitios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tengan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sensación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normal, antes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meterse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ducha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pruebe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temperatura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agua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cuerpo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tenga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sensación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normal...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temperatura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es normal,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está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bien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agua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0DA59690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248DC56A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Actividad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: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ayudar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minimizar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hinchazón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facial,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próximas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72 horas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descanse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cómodamente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la cabeza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elevada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encima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hombros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Evite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tener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esforzarse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levantar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cualquier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cosa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tenga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esforzarse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aumentar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presión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arterial y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causar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sangrado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repentinamente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Pídale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4D8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alguien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lo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ayude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levantarse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cama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baño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primeras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72 horas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participe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ninguna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actividad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extenuante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próximas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4 a 6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semanas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minimizar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esfuerzo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evite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agacharse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levantar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objetos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pesados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primeros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5 a 7 días.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reanudar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ejercicio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ligero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sus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normales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primera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visita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postoperatoria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médico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Sin embargo, evite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cualquier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contacto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sitio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operatorio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primeras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seis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semanas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6DDB48B3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6B4D81">
        <w:rPr>
          <w:rFonts w:ascii="Times New Roman" w:hAnsi="Times New Roman" w:cs="Times New Roman"/>
          <w:sz w:val="22"/>
          <w:szCs w:val="22"/>
        </w:rPr>
        <w:t xml:space="preserve">Si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usa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lentes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contacto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debe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esperar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aproximadamente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5 días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antes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ponérselos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permitirá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ojos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recuperen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función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normal y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capacidad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lubricarse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1080E906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3C785788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6B4D81">
        <w:rPr>
          <w:rFonts w:ascii="Times New Roman" w:hAnsi="Times New Roman" w:cs="Times New Roman"/>
          <w:sz w:val="22"/>
          <w:szCs w:val="22"/>
        </w:rPr>
        <w:t xml:space="preserve">Durante dos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tres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semanas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hasta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médico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se lo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indique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no use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maquillaje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sitio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incisión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6FC2D9C4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21291A7C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Medicamentos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: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dolor,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 es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alérgico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comience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Tylenol 650 mg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cada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cuatro horas. Si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necesita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algo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fuerte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use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receta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analgésicos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le ha dado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Dr. Chattar Cora. Si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toma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medicamento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recetado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dolor,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conduzca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opere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maquinaria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dañar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4D8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alguien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Tome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antibióticos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recetados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indicaciones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40E9B846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614F3C3B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6B4D81">
        <w:rPr>
          <w:rFonts w:ascii="Times New Roman" w:hAnsi="Times New Roman" w:cs="Times New Roman"/>
          <w:sz w:val="22"/>
          <w:szCs w:val="22"/>
        </w:rPr>
        <w:t xml:space="preserve">Si le dan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pomada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oftálmica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y/o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gotas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ojos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aplique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indicaciones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médico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Si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pomada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oftálmica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entra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contacto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sus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ojos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no se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alarme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visión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vuelve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borrosa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es algo normal.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Continúe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cuidado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hasta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visita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posoperatoria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Dr. Chattar-Cora.</w:t>
      </w:r>
    </w:p>
    <w:p w14:paraId="37C6855E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55F72A22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Todas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cicatrices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nuevas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tienden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4D8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oscurecerse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cuando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exponen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 la luz solar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las camas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bronceado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El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uso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protector solar con un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mínimo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SPF 15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próximos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3 a 6 meses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ayudar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4D8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evitar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las cicatrices se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oscurezcan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06184308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6BD033DD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Vendaje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vendaje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gasa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original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está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sucio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reutilizarlo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volver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4D8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aplicarlo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...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coloque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vendajes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algodón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suave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alrededor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cara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acolchar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suavemente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sitios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quirúrgicos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cuello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frente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y use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suavemente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venda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mantener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gasa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puesta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...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vendajes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debe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sentirse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cómodo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no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apretado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2D629AB3" w14:textId="77777777" w:rsidR="006B4D81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75DC3551" w14:textId="3AD590C8" w:rsidR="00B11B39" w:rsidRPr="006B4D81" w:rsidRDefault="006B4D81" w:rsidP="006B4D81">
      <w:pPr>
        <w:pStyle w:val="Header"/>
        <w:rPr>
          <w:rFonts w:ascii="Times New Roman" w:hAnsi="Times New Roman" w:cs="Times New Roman"/>
          <w:sz w:val="22"/>
          <w:szCs w:val="22"/>
        </w:rPr>
      </w:pPr>
      <w:proofErr w:type="spellStart"/>
      <w:r w:rsidRPr="006B4D81">
        <w:rPr>
          <w:rFonts w:ascii="Times New Roman" w:hAnsi="Times New Roman" w:cs="Times New Roman"/>
          <w:b/>
          <w:bCs/>
          <w:sz w:val="22"/>
          <w:szCs w:val="22"/>
        </w:rPr>
        <w:t>Seguimiento</w:t>
      </w:r>
      <w:proofErr w:type="spellEnd"/>
      <w:r w:rsidRPr="006B4D8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horario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laboral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normal, de lunes 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viernes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de </w:t>
      </w:r>
      <w:proofErr w:type="gramStart"/>
      <w:r w:rsidRPr="006B4D81">
        <w:rPr>
          <w:rFonts w:ascii="Times New Roman" w:hAnsi="Times New Roman" w:cs="Times New Roman"/>
          <w:sz w:val="22"/>
          <w:szCs w:val="22"/>
        </w:rPr>
        <w:t>900 a.</w:t>
      </w:r>
      <w:proofErr w:type="gramEnd"/>
      <w:r w:rsidRPr="006B4D81">
        <w:rPr>
          <w:rFonts w:ascii="Times New Roman" w:hAnsi="Times New Roman" w:cs="Times New Roman"/>
          <w:sz w:val="22"/>
          <w:szCs w:val="22"/>
        </w:rPr>
        <w:t xml:space="preserve"> m.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500 p. m.,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llame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al 210-265-1924 para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programar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cita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que le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resulte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conveniente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. Si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tiene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algún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cambio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visión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dolores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de cabeza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intensos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náuseas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vómitos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llame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 xml:space="preserve"> al 210-265-1924 de </w:t>
      </w:r>
      <w:proofErr w:type="spellStart"/>
      <w:r w:rsidRPr="006B4D81">
        <w:rPr>
          <w:rFonts w:ascii="Times New Roman" w:hAnsi="Times New Roman" w:cs="Times New Roman"/>
          <w:sz w:val="22"/>
          <w:szCs w:val="22"/>
        </w:rPr>
        <w:t>inmediato</w:t>
      </w:r>
      <w:proofErr w:type="spellEnd"/>
      <w:r w:rsidRPr="006B4D81">
        <w:rPr>
          <w:rFonts w:ascii="Times New Roman" w:hAnsi="Times New Roman" w:cs="Times New Roman"/>
          <w:sz w:val="22"/>
          <w:szCs w:val="22"/>
        </w:rPr>
        <w:t>.</w:t>
      </w:r>
    </w:p>
    <w:p w14:paraId="56E6C194" w14:textId="05340D4E" w:rsidR="00B11B39" w:rsidRPr="002F3050" w:rsidRDefault="00B11B39" w:rsidP="00383191">
      <w:pPr>
        <w:pStyle w:val="Header"/>
        <w:spacing w:line="276" w:lineRule="auto"/>
        <w:jc w:val="center"/>
        <w:rPr>
          <w:rFonts w:ascii="Trajan Pro" w:hAnsi="Trajan Pro"/>
          <w:b/>
          <w:color w:val="404040" w:themeColor="text1" w:themeTint="BF"/>
        </w:rPr>
      </w:pPr>
      <w:r>
        <w:rPr>
          <w:rFonts w:ascii="Trajan Pro" w:hAnsi="Trajan Pro"/>
          <w:b/>
          <w:color w:val="404040" w:themeColor="text1" w:themeTint="BF"/>
        </w:rPr>
        <w:t xml:space="preserve">                               </w:t>
      </w:r>
    </w:p>
    <w:p w14:paraId="0C62C679" w14:textId="45FF5AB7" w:rsidR="00B11B39" w:rsidRDefault="00B11B39"/>
    <w:p w14:paraId="7047EDE7" w14:textId="127EA571" w:rsidR="00A95B9E" w:rsidRPr="00A95B9E" w:rsidRDefault="00A95B9E" w:rsidP="00A95B9E"/>
    <w:p w14:paraId="1F9D9088" w14:textId="7ABE78E2" w:rsidR="00A95B9E" w:rsidRPr="00A95B9E" w:rsidRDefault="00A95B9E" w:rsidP="00A95B9E"/>
    <w:p w14:paraId="7830813E" w14:textId="25920384" w:rsidR="00A95B9E" w:rsidRDefault="00A95B9E" w:rsidP="00A95B9E"/>
    <w:p w14:paraId="6D9DA682" w14:textId="5409B4F9" w:rsidR="00001369" w:rsidRDefault="00001369" w:rsidP="00A95B9E"/>
    <w:p w14:paraId="13709617" w14:textId="613ABDD4" w:rsidR="00001369" w:rsidRDefault="00001369" w:rsidP="00A95B9E"/>
    <w:p w14:paraId="2591672D" w14:textId="562FF82C" w:rsidR="00001369" w:rsidRDefault="00001369" w:rsidP="00A95B9E"/>
    <w:p w14:paraId="09508D20" w14:textId="7242AFA2" w:rsidR="00001369" w:rsidRDefault="00001369" w:rsidP="00A95B9E"/>
    <w:p w14:paraId="0358BDBC" w14:textId="7E738DB7" w:rsidR="00001369" w:rsidRDefault="00001369" w:rsidP="00A95B9E"/>
    <w:p w14:paraId="32109D11" w14:textId="42666B1E" w:rsidR="00001369" w:rsidRDefault="00001369" w:rsidP="00A95B9E"/>
    <w:p w14:paraId="6E2844D9" w14:textId="4472CE91" w:rsidR="00001369" w:rsidRDefault="00001369" w:rsidP="00A95B9E"/>
    <w:p w14:paraId="2DB43C36" w14:textId="7676ADA5" w:rsidR="00001369" w:rsidRDefault="00001369" w:rsidP="00A95B9E"/>
    <w:p w14:paraId="560E1BF9" w14:textId="7653F53F" w:rsidR="00001369" w:rsidRDefault="00001369" w:rsidP="00A95B9E"/>
    <w:p w14:paraId="0DF47145" w14:textId="43F01546" w:rsidR="00001369" w:rsidRPr="00A95B9E" w:rsidRDefault="00001369" w:rsidP="00A95B9E"/>
    <w:p w14:paraId="29964A1A" w14:textId="05A58291" w:rsidR="00A95B9E" w:rsidRPr="00A95B9E" w:rsidRDefault="00A95B9E" w:rsidP="00A95B9E"/>
    <w:p w14:paraId="398EB437" w14:textId="32A47D05" w:rsidR="00A95B9E" w:rsidRPr="00A95B9E" w:rsidRDefault="00A95B9E" w:rsidP="00A95B9E"/>
    <w:p w14:paraId="6B5CF6E4" w14:textId="68786D01" w:rsidR="00A95B9E" w:rsidRPr="00A95B9E" w:rsidRDefault="00A95B9E" w:rsidP="00A95B9E"/>
    <w:p w14:paraId="6EFABA05" w14:textId="23BF38EB" w:rsidR="00A95B9E" w:rsidRPr="00A95B9E" w:rsidRDefault="00A95B9E" w:rsidP="00A95B9E"/>
    <w:p w14:paraId="79F766CF" w14:textId="2330126E" w:rsidR="00A95B9E" w:rsidRPr="00A95B9E" w:rsidRDefault="00A95B9E" w:rsidP="00A95B9E"/>
    <w:p w14:paraId="063FC9ED" w14:textId="583232E8" w:rsidR="00A95B9E" w:rsidRPr="00A95B9E" w:rsidRDefault="00A95B9E" w:rsidP="00A95B9E"/>
    <w:p w14:paraId="18D7D5C3" w14:textId="2B304766" w:rsidR="00A95B9E" w:rsidRPr="00A95B9E" w:rsidRDefault="00A95B9E" w:rsidP="00A95B9E"/>
    <w:p w14:paraId="762FD850" w14:textId="248A611C" w:rsidR="00A95B9E" w:rsidRPr="00A95B9E" w:rsidRDefault="00A95B9E" w:rsidP="00A95B9E"/>
    <w:p w14:paraId="269F90B8" w14:textId="32169003" w:rsidR="00A95B9E" w:rsidRPr="00A95B9E" w:rsidRDefault="00A95B9E" w:rsidP="0060357F"/>
    <w:sectPr w:rsidR="00A95B9E" w:rsidRPr="00A95B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7FFD" w14:textId="77777777" w:rsidR="008322CC" w:rsidRDefault="008322CC" w:rsidP="00383191">
      <w:pPr>
        <w:spacing w:after="0" w:line="240" w:lineRule="auto"/>
      </w:pPr>
      <w:r>
        <w:separator/>
      </w:r>
    </w:p>
  </w:endnote>
  <w:endnote w:type="continuationSeparator" w:id="0">
    <w:p w14:paraId="7EC30FED" w14:textId="77777777" w:rsidR="008322CC" w:rsidRDefault="008322CC" w:rsidP="0038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Troja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C0C2" w14:textId="6EDFF4DC" w:rsidR="00A95B9E" w:rsidRPr="00A95B9E" w:rsidRDefault="00383191" w:rsidP="00A95B9E">
    <w:pPr>
      <w:pStyle w:val="Header"/>
      <w:spacing w:line="276" w:lineRule="auto"/>
      <w:jc w:val="center"/>
      <w:rPr>
        <w:rFonts w:ascii="Trojan pro" w:hAnsi="Trojan pro" w:cs="Arial"/>
        <w:b/>
        <w:color w:val="404040" w:themeColor="text1" w:themeTint="BF"/>
      </w:rPr>
    </w:pPr>
    <w:r w:rsidRPr="00A95B9E">
      <w:rPr>
        <w:rFonts w:ascii="Trojan pro" w:hAnsi="Trojan pro"/>
        <w:b/>
        <w:color w:val="404040" w:themeColor="text1" w:themeTint="BF"/>
      </w:rPr>
      <w:t xml:space="preserve">1931 Rogers </w:t>
    </w:r>
    <w:proofErr w:type="gramStart"/>
    <w:r w:rsidRPr="00A95B9E">
      <w:rPr>
        <w:rFonts w:ascii="Trojan pro" w:hAnsi="Trojan pro"/>
        <w:b/>
        <w:color w:val="404040" w:themeColor="text1" w:themeTint="BF"/>
      </w:rPr>
      <w:t xml:space="preserve">Road  </w:t>
    </w:r>
    <w:r w:rsidR="00A95B9E" w:rsidRPr="00A95B9E">
      <w:rPr>
        <w:rFonts w:ascii="Trojan pro" w:hAnsi="Trojan pro" w:cs="Arial"/>
        <w:b/>
        <w:color w:val="404040" w:themeColor="text1" w:themeTint="BF"/>
      </w:rPr>
      <w:t>Suite</w:t>
    </w:r>
    <w:proofErr w:type="gramEnd"/>
    <w:r w:rsidR="00A95B9E" w:rsidRPr="00A95B9E">
      <w:rPr>
        <w:rFonts w:ascii="Trojan pro" w:hAnsi="Trojan pro" w:cs="Arial"/>
        <w:b/>
        <w:color w:val="404040" w:themeColor="text1" w:themeTint="BF"/>
      </w:rPr>
      <w:t xml:space="preserve"> 104</w:t>
    </w:r>
  </w:p>
  <w:p w14:paraId="7E3AB250" w14:textId="35432532" w:rsidR="00A95B9E" w:rsidRDefault="00383191" w:rsidP="00A95B9E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 xml:space="preserve">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</w:t>
    </w:r>
    <w:r w:rsidR="00A95B9E">
      <w:rPr>
        <w:rFonts w:ascii="Trajan Pro" w:hAnsi="Trajan Pro"/>
        <w:b/>
        <w:color w:val="404040" w:themeColor="text1" w:themeTint="BF"/>
      </w:rPr>
      <w:t>x 78254</w:t>
    </w:r>
  </w:p>
  <w:p w14:paraId="01F393EA" w14:textId="6508522D" w:rsidR="00A95B9E" w:rsidRDefault="00383191" w:rsidP="00A95B9E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</w:t>
    </w:r>
  </w:p>
  <w:p w14:paraId="084F9DB5" w14:textId="4718153D" w:rsidR="00383191" w:rsidRPr="002F3050" w:rsidRDefault="00383191" w:rsidP="00A95B9E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www.eliteplasticmd.com</w:t>
    </w:r>
  </w:p>
  <w:p w14:paraId="3334770E" w14:textId="23D07052" w:rsidR="00383191" w:rsidRDefault="00383191">
    <w:pPr>
      <w:pStyle w:val="Footer"/>
    </w:pPr>
  </w:p>
  <w:p w14:paraId="7D3DB1E0" w14:textId="77777777" w:rsidR="00383191" w:rsidRDefault="0038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A723" w14:textId="77777777" w:rsidR="008322CC" w:rsidRDefault="008322CC" w:rsidP="00383191">
      <w:pPr>
        <w:spacing w:after="0" w:line="240" w:lineRule="auto"/>
      </w:pPr>
      <w:r>
        <w:separator/>
      </w:r>
    </w:p>
  </w:footnote>
  <w:footnote w:type="continuationSeparator" w:id="0">
    <w:p w14:paraId="36DAC188" w14:textId="77777777" w:rsidR="008322CC" w:rsidRDefault="008322CC" w:rsidP="0038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B073" w14:textId="77777777" w:rsidR="007A7626" w:rsidRDefault="00A82E61" w:rsidP="007A7626">
    <w:pPr>
      <w:pStyle w:val="Header"/>
    </w:pPr>
    <w:r>
      <w:rPr>
        <w:noProof/>
      </w:rPr>
      <w:drawing>
        <wp:inline distT="0" distB="0" distL="0" distR="0" wp14:anchorId="5D0D2D46" wp14:editId="5D8EB6C9">
          <wp:extent cx="5400675" cy="819910"/>
          <wp:effectExtent l="19050" t="0" r="9525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8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F3802" w14:textId="77777777" w:rsidR="007A7626" w:rsidRDefault="007A7626" w:rsidP="00C14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9"/>
    <w:rsid w:val="00001369"/>
    <w:rsid w:val="000910AE"/>
    <w:rsid w:val="002C5948"/>
    <w:rsid w:val="00323212"/>
    <w:rsid w:val="00383191"/>
    <w:rsid w:val="003A1763"/>
    <w:rsid w:val="0060357F"/>
    <w:rsid w:val="006B4D81"/>
    <w:rsid w:val="007A7626"/>
    <w:rsid w:val="008322CC"/>
    <w:rsid w:val="00851983"/>
    <w:rsid w:val="00924265"/>
    <w:rsid w:val="009A7149"/>
    <w:rsid w:val="00A82E61"/>
    <w:rsid w:val="00A95B9E"/>
    <w:rsid w:val="00B11B39"/>
    <w:rsid w:val="00B13142"/>
    <w:rsid w:val="00B13D10"/>
    <w:rsid w:val="00B51992"/>
    <w:rsid w:val="00C14733"/>
    <w:rsid w:val="00E570A5"/>
    <w:rsid w:val="00E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AD82"/>
  <w15:chartTrackingRefBased/>
  <w15:docId w15:val="{E5DF5620-843C-4558-B49B-406A295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3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1B39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92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91"/>
  </w:style>
  <w:style w:type="character" w:styleId="Hyperlink">
    <w:name w:val="Hyperlink"/>
    <w:basedOn w:val="DefaultParagraphFont"/>
    <w:uiPriority w:val="99"/>
    <w:unhideWhenUsed/>
    <w:rsid w:val="007A7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Chattar</dc:creator>
  <cp:keywords/>
  <dc:description/>
  <cp:lastModifiedBy>deowall chattar</cp:lastModifiedBy>
  <cp:revision>2</cp:revision>
  <dcterms:created xsi:type="dcterms:W3CDTF">2023-01-03T13:32:00Z</dcterms:created>
  <dcterms:modified xsi:type="dcterms:W3CDTF">2023-01-03T13:32:00Z</dcterms:modified>
</cp:coreProperties>
</file>