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C042" w14:textId="77777777" w:rsidR="000916F2" w:rsidRDefault="000916F2" w:rsidP="00BF49E9">
      <w:pPr>
        <w:contextualSpacing/>
        <w:rPr>
          <w:color w:val="222222"/>
          <w:sz w:val="27"/>
          <w:szCs w:val="27"/>
          <w:shd w:val="clear" w:color="auto" w:fill="FFFFFF"/>
        </w:rPr>
      </w:pPr>
    </w:p>
    <w:p w14:paraId="2FD397E6" w14:textId="6E6392C7" w:rsidR="00DF4B7F" w:rsidRPr="00DF4B7F" w:rsidRDefault="00DF4B7F" w:rsidP="00DF4B7F">
      <w:pPr>
        <w:contextualSpacing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Instrucciones</w:t>
      </w:r>
      <w:proofErr w:type="spellEnd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77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</w:t>
      </w:r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ostoperatorias</w:t>
      </w:r>
      <w:proofErr w:type="spellEnd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del </w:t>
      </w:r>
      <w:proofErr w:type="spellStart"/>
      <w:r w:rsidR="00A177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Q</w:t>
      </w:r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uiste</w:t>
      </w:r>
      <w:proofErr w:type="spellEnd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177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G</w:t>
      </w:r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angli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</w:t>
      </w:r>
      <w:proofErr w:type="spellEnd"/>
    </w:p>
    <w:p w14:paraId="63770F05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6988230F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Dieta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evite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alimentos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salados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empeorar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hinchazón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26B5D409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28943217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Ducharse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Hasta que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sensación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vuelva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normalidad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mano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operada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agarre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cosas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puedan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calientes, de lo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contrario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quemarse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y 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reconocerlo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58526782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6C59C72E" w14:textId="5AF0B7F4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Al día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siguiente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del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procedimiento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para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ducharse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podrá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retirar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benda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medida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retira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preste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atención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cómo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ajusta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deberá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volver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colocarla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misma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Una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buena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manera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recordar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cómo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encaja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tomar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fotografías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moje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.).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ducharse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y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mojar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herida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pero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no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estruje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herida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volver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</w:t>
      </w:r>
      <w:proofErr w:type="gram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aplicar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una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gasa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seca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sea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necesario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4B3B3190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38E932E9" w14:textId="7823EA1D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Una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semana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después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operación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retire y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deseche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tablilla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ese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momento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desea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aplicar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un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vendaje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gasa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simple,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está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bien.</w:t>
      </w:r>
    </w:p>
    <w:p w14:paraId="6552E710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38774986" w14:textId="66A80E6C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Actividad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</w:t>
      </w:r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Es </w:t>
      </w:r>
      <w:proofErr w:type="spellStart"/>
      <w:r w:rsidR="00A1776A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recomendado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comenzar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 mover la mano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inmediatamente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después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del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procedimiento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evitará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rigidez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y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formación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cicatrices entre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tendones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y las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estructuras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circundantes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Tu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objetivo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es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cerrar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puño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completo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menos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20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veces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media hora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mientras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estás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despierto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Evite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levantar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objetos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pesados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con la mano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operada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ya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mano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estará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muy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sensible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durante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algún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tiempo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534C650F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34CDBFF3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Medicamentos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su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mano se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hincha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palpita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tiene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dolor,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levántela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por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encima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del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codo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54499C67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Para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dolor,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si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no es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alérgico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comience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con Tylenol 650 mg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sea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necesario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cada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cuatro horas. Si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necesita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algo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más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fuerte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use la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receta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le ha dado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Dr. Chattar Cora. Si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toma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medicamento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recetado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no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conduzca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ni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opere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maquinaria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pueda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dañar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</w:t>
      </w:r>
      <w:proofErr w:type="gram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alguien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Si le dan un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antibiótico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, tome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antibióticos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recetados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según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las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indicaciones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2701EE11" w14:textId="0E9949AF" w:rsidR="00DF4B7F" w:rsidRPr="00DF4B7F" w:rsidRDefault="004C18D5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Siga </w:t>
      </w:r>
      <w:proofErr w:type="spell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usando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los me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dicamentos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estaba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tomando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antes de la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operación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como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los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tomaba</w:t>
      </w:r>
      <w:proofErr w:type="spellEnd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F4B7F"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anteriormente</w:t>
      </w:r>
      <w:proofErr w:type="spell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p w14:paraId="1016C311" w14:textId="77777777" w:rsidR="00DF4B7F" w:rsidRPr="00DF4B7F" w:rsidRDefault="00DF4B7F" w:rsidP="00DF4B7F">
      <w:pPr>
        <w:contextualSpacing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14:paraId="49C14FDB" w14:textId="6F2B5D0A" w:rsidR="000916F2" w:rsidRPr="00DF4B7F" w:rsidRDefault="00DF4B7F" w:rsidP="00DF4B7F">
      <w:pPr>
        <w:contextualSpacing/>
        <w:rPr>
          <w:bCs/>
          <w:color w:val="222222"/>
          <w:sz w:val="24"/>
          <w:szCs w:val="24"/>
          <w:shd w:val="clear" w:color="auto" w:fill="FFFFFF"/>
        </w:rPr>
      </w:pPr>
      <w:proofErr w:type="spellStart"/>
      <w:r w:rsidRPr="00DF4B7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Seguimiento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: con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Dr. Chattar Cora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dentro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una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 dos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semanas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. Durante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horario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comercial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normal,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llame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al 210-265-1924 para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programar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una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cita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que </w:t>
      </w:r>
      <w:r w:rsidR="004C18D5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sea</w:t>
      </w:r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conveniente</w:t>
      </w:r>
      <w:proofErr w:type="spellEnd"/>
      <w:r w:rsidRPr="00DF4B7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</w:p>
    <w:sectPr w:rsidR="000916F2" w:rsidRPr="00DF4B7F" w:rsidSect="006E4098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FEE3" w14:textId="77777777" w:rsidR="005C3AD6" w:rsidRDefault="005C3AD6" w:rsidP="006E4098">
      <w:r>
        <w:separator/>
      </w:r>
    </w:p>
  </w:endnote>
  <w:endnote w:type="continuationSeparator" w:id="0">
    <w:p w14:paraId="130C71A1" w14:textId="77777777" w:rsidR="005C3AD6" w:rsidRDefault="005C3AD6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36D2" w14:textId="77777777" w:rsidR="002F3050" w:rsidRPr="00017C09" w:rsidRDefault="002F3050" w:rsidP="002F3050">
    <w:pPr>
      <w:pStyle w:val="Footer"/>
      <w:tabs>
        <w:tab w:val="clear" w:pos="4680"/>
        <w:tab w:val="clear" w:pos="9360"/>
        <w:tab w:val="left" w:pos="5895"/>
      </w:tabs>
      <w:jc w:val="center"/>
      <w:rPr>
        <w:rFonts w:ascii="Trajan Pro" w:hAnsi="Trajan Pro"/>
        <w:b/>
        <w:color w:val="404040" w:themeColor="text1" w:themeTint="BF"/>
        <w:sz w:val="22"/>
        <w:szCs w:val="22"/>
      </w:rPr>
    </w:pPr>
    <w:r w:rsidRPr="00017C09">
      <w:rPr>
        <w:rFonts w:ascii="Trajan Pro" w:hAnsi="Trajan Pro"/>
        <w:b/>
        <w:color w:val="404040" w:themeColor="text1" w:themeTint="BF"/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1F6B" w14:textId="77777777" w:rsidR="005C3AD6" w:rsidRDefault="005C3AD6" w:rsidP="006E4098">
      <w:r>
        <w:separator/>
      </w:r>
    </w:p>
  </w:footnote>
  <w:footnote w:type="continuationSeparator" w:id="0">
    <w:p w14:paraId="15F49017" w14:textId="77777777" w:rsidR="005C3AD6" w:rsidRDefault="005C3AD6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3C35" w14:textId="77777777" w:rsidR="006E4098" w:rsidRDefault="006E4098" w:rsidP="0062131E">
    <w:pPr>
      <w:pStyle w:val="Header"/>
      <w:jc w:val="center"/>
    </w:pPr>
    <w:r>
      <w:rPr>
        <w:noProof/>
      </w:rPr>
      <w:drawing>
        <wp:inline distT="0" distB="0" distL="0" distR="0" wp14:anchorId="4830CC9B" wp14:editId="13262EE0">
          <wp:extent cx="5400675" cy="81991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D38868" w14:textId="77777777" w:rsidR="0062131E" w:rsidRDefault="0062131E" w:rsidP="002F3050">
    <w:pPr>
      <w:pStyle w:val="Header"/>
      <w:spacing w:line="276" w:lineRule="auto"/>
    </w:pPr>
  </w:p>
  <w:p w14:paraId="5424DEBD" w14:textId="2A83AAD6" w:rsidR="00F64BD2" w:rsidRPr="002F3050" w:rsidRDefault="004254DF" w:rsidP="00F64BD2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 xml:space="preserve">1931 Rogers Road </w:t>
    </w:r>
    <w:r w:rsidR="00F64BD2" w:rsidRPr="002F3050">
      <w:rPr>
        <w:rFonts w:ascii="Trajan Pro" w:hAnsi="Trajan Pro"/>
        <w:b/>
        <w:color w:val="404040" w:themeColor="text1" w:themeTint="BF"/>
      </w:rPr>
      <w:t xml:space="preserve">  Suite </w:t>
    </w:r>
    <w:proofErr w:type="gramStart"/>
    <w:r>
      <w:rPr>
        <w:rFonts w:ascii="Trajan Pro" w:hAnsi="Trajan Pro"/>
        <w:b/>
        <w:color w:val="404040" w:themeColor="text1" w:themeTint="BF"/>
      </w:rPr>
      <w:t>104</w:t>
    </w:r>
    <w:r w:rsidR="00F64BD2" w:rsidRPr="002F3050">
      <w:rPr>
        <w:rFonts w:ascii="Trajan Pro" w:hAnsi="Trajan Pro"/>
        <w:b/>
        <w:color w:val="404040" w:themeColor="text1" w:themeTint="BF"/>
      </w:rPr>
      <w:t xml:space="preserve">  </w:t>
    </w:r>
    <w:r w:rsidR="00F64BD2"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="00F64BD2" w:rsidRPr="002F3050">
      <w:rPr>
        <w:rFonts w:ascii="Trajan Pro" w:hAnsi="Trajan Pro"/>
        <w:b/>
        <w:color w:val="404040" w:themeColor="text1" w:themeTint="BF"/>
      </w:rPr>
      <w:t xml:space="preserve">  </w:t>
    </w:r>
    <w:r w:rsidR="00F64BD2">
      <w:rPr>
        <w:rFonts w:ascii="Trajan Pro" w:hAnsi="Trajan Pro"/>
        <w:b/>
        <w:color w:val="404040" w:themeColor="text1" w:themeTint="BF"/>
      </w:rPr>
      <w:t>San A</w:t>
    </w:r>
    <w:r w:rsidR="00F64BD2" w:rsidRPr="002F3050">
      <w:rPr>
        <w:rFonts w:ascii="Trajan Pro" w:hAnsi="Trajan Pro"/>
        <w:b/>
        <w:color w:val="404040" w:themeColor="text1" w:themeTint="BF"/>
      </w:rPr>
      <w:t>ntonio, TX 78251</w:t>
    </w:r>
  </w:p>
  <w:p w14:paraId="2581D426" w14:textId="77777777" w:rsidR="0062131E" w:rsidRPr="00F64BD2" w:rsidRDefault="00F64BD2" w:rsidP="00F64BD2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>Tel: 210-265-</w:t>
    </w:r>
    <w:proofErr w:type="gramStart"/>
    <w:r w:rsidRPr="002F3050">
      <w:rPr>
        <w:rFonts w:ascii="Trajan Pro" w:hAnsi="Trajan Pro"/>
        <w:b/>
        <w:color w:val="404040" w:themeColor="text1" w:themeTint="BF"/>
      </w:rPr>
      <w:t xml:space="preserve">1924  </w:t>
    </w:r>
    <w:r w:rsidRPr="002F3050">
      <w:rPr>
        <w:rFonts w:ascii="Arial" w:hAnsi="Arial" w:cs="Arial"/>
        <w:b/>
        <w:color w:val="404040" w:themeColor="text1" w:themeTint="BF"/>
      </w:rPr>
      <w:t>•</w:t>
    </w:r>
    <w:proofErr w:type="gramEnd"/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F1AE173D-11F6-4188-9503-CCBADB921023}"/>
    <w:docVar w:name="dgnword-eventsink" w:val="170212176"/>
  </w:docVars>
  <w:rsids>
    <w:rsidRoot w:val="006E4098"/>
    <w:rsid w:val="00013246"/>
    <w:rsid w:val="00017C09"/>
    <w:rsid w:val="000916F2"/>
    <w:rsid w:val="000B2D3C"/>
    <w:rsid w:val="001050BC"/>
    <w:rsid w:val="001413BD"/>
    <w:rsid w:val="001C3ADA"/>
    <w:rsid w:val="001C5D97"/>
    <w:rsid w:val="001D3812"/>
    <w:rsid w:val="002466EC"/>
    <w:rsid w:val="00246AB2"/>
    <w:rsid w:val="002511FE"/>
    <w:rsid w:val="002674A2"/>
    <w:rsid w:val="002F3050"/>
    <w:rsid w:val="003041BE"/>
    <w:rsid w:val="00317EEC"/>
    <w:rsid w:val="0033275A"/>
    <w:rsid w:val="003B2FBF"/>
    <w:rsid w:val="003C5388"/>
    <w:rsid w:val="003D5C02"/>
    <w:rsid w:val="00414463"/>
    <w:rsid w:val="004254DF"/>
    <w:rsid w:val="004274AC"/>
    <w:rsid w:val="004C18D5"/>
    <w:rsid w:val="004D1F2B"/>
    <w:rsid w:val="004E22FE"/>
    <w:rsid w:val="004E75F1"/>
    <w:rsid w:val="00525E20"/>
    <w:rsid w:val="0056645C"/>
    <w:rsid w:val="005A51A5"/>
    <w:rsid w:val="005C02BA"/>
    <w:rsid w:val="005C3AD6"/>
    <w:rsid w:val="005E14E2"/>
    <w:rsid w:val="005E4B1E"/>
    <w:rsid w:val="00604475"/>
    <w:rsid w:val="0062131E"/>
    <w:rsid w:val="006315E5"/>
    <w:rsid w:val="00631A86"/>
    <w:rsid w:val="0066161A"/>
    <w:rsid w:val="006B3779"/>
    <w:rsid w:val="006E4098"/>
    <w:rsid w:val="007004E4"/>
    <w:rsid w:val="00704132"/>
    <w:rsid w:val="00713885"/>
    <w:rsid w:val="00722F4C"/>
    <w:rsid w:val="00767E01"/>
    <w:rsid w:val="0080597B"/>
    <w:rsid w:val="0081527C"/>
    <w:rsid w:val="00822474"/>
    <w:rsid w:val="00841E41"/>
    <w:rsid w:val="00856008"/>
    <w:rsid w:val="008B4C9E"/>
    <w:rsid w:val="008C47E3"/>
    <w:rsid w:val="008E76DF"/>
    <w:rsid w:val="00925663"/>
    <w:rsid w:val="00941A32"/>
    <w:rsid w:val="0094494A"/>
    <w:rsid w:val="009535A1"/>
    <w:rsid w:val="00A1776A"/>
    <w:rsid w:val="00A357D8"/>
    <w:rsid w:val="00A45B2D"/>
    <w:rsid w:val="00A62D4A"/>
    <w:rsid w:val="00A71AA3"/>
    <w:rsid w:val="00A962F2"/>
    <w:rsid w:val="00AD1282"/>
    <w:rsid w:val="00AE22E3"/>
    <w:rsid w:val="00AF39E2"/>
    <w:rsid w:val="00B057F6"/>
    <w:rsid w:val="00B10058"/>
    <w:rsid w:val="00B13BE8"/>
    <w:rsid w:val="00B300CA"/>
    <w:rsid w:val="00B3053A"/>
    <w:rsid w:val="00B33F5E"/>
    <w:rsid w:val="00B7107A"/>
    <w:rsid w:val="00B739FA"/>
    <w:rsid w:val="00B95A19"/>
    <w:rsid w:val="00BF49E9"/>
    <w:rsid w:val="00C242D8"/>
    <w:rsid w:val="00C919E6"/>
    <w:rsid w:val="00C922A3"/>
    <w:rsid w:val="00CF7044"/>
    <w:rsid w:val="00D00068"/>
    <w:rsid w:val="00D36CC2"/>
    <w:rsid w:val="00D65FF5"/>
    <w:rsid w:val="00DA44F3"/>
    <w:rsid w:val="00DB187B"/>
    <w:rsid w:val="00DD76AA"/>
    <w:rsid w:val="00DF4B7F"/>
    <w:rsid w:val="00E6561C"/>
    <w:rsid w:val="00E7498F"/>
    <w:rsid w:val="00E74BA2"/>
    <w:rsid w:val="00F06161"/>
    <w:rsid w:val="00F11CCE"/>
    <w:rsid w:val="00F2461A"/>
    <w:rsid w:val="00F26EAE"/>
    <w:rsid w:val="00F324DD"/>
    <w:rsid w:val="00F452A8"/>
    <w:rsid w:val="00F56FAB"/>
    <w:rsid w:val="00F64BD2"/>
    <w:rsid w:val="00F713BE"/>
    <w:rsid w:val="00F8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96091"/>
  <w15:docId w15:val="{7031BDDF-0A0C-4A5B-B8B0-010B192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  <w:style w:type="character" w:customStyle="1" w:styleId="apple-converted-space">
    <w:name w:val="apple-converted-space"/>
    <w:basedOn w:val="DefaultParagraphFont"/>
    <w:rsid w:val="00BF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Gonzales</dc:creator>
  <cp:lastModifiedBy>deowall chattar</cp:lastModifiedBy>
  <cp:revision>2</cp:revision>
  <cp:lastPrinted>2014-05-21T21:42:00Z</cp:lastPrinted>
  <dcterms:created xsi:type="dcterms:W3CDTF">2023-01-03T14:29:00Z</dcterms:created>
  <dcterms:modified xsi:type="dcterms:W3CDTF">2023-01-03T14:29:00Z</dcterms:modified>
</cp:coreProperties>
</file>